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jc w:val="center"/>
        <w:textAlignment w:val="auto"/>
        <w:rPr>
          <w:rStyle w:val="7"/>
          <w:rFonts w:hint="eastAsia" w:ascii="Times New Roman" w:hAnsi="Times New Roman" w:eastAsia="方正小标宋简体" w:cs="Times New Roman"/>
          <w:b w:val="0"/>
          <w:bCs/>
          <w:szCs w:val="22"/>
          <w:lang w:val="en-US" w:eastAsia="zh-CN"/>
        </w:rPr>
      </w:pPr>
      <w:r>
        <w:rPr>
          <w:rStyle w:val="7"/>
          <w:rFonts w:hint="eastAsia" w:ascii="Times New Roman" w:hAnsi="Times New Roman" w:eastAsia="方正小标宋简体" w:cs="Times New Roman"/>
          <w:b w:val="0"/>
          <w:bCs/>
          <w:szCs w:val="22"/>
          <w:lang w:val="en-US" w:eastAsia="zh-CN"/>
        </w:rPr>
        <w:t>XXX研究生培养方案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jc w:val="center"/>
        <w:textAlignment w:val="auto"/>
        <w:rPr>
          <w:rStyle w:val="7"/>
          <w:rFonts w:hint="eastAsia" w:ascii="Times New Roman" w:hAnsi="Times New Roman" w:eastAsia="方正小标宋简体" w:cs="Times New Roman"/>
          <w:b w:val="0"/>
          <w:bCs/>
          <w:szCs w:val="22"/>
          <w:lang w:val="en-US" w:eastAsia="zh-CN"/>
        </w:rPr>
      </w:pPr>
      <w:r>
        <w:rPr>
          <w:rStyle w:val="7"/>
          <w:rFonts w:hint="eastAsia" w:ascii="Times New Roman" w:hAnsi="Times New Roman" w:eastAsia="方正小标宋简体" w:cs="Times New Roman"/>
          <w:b w:val="0"/>
          <w:bCs/>
          <w:szCs w:val="22"/>
          <w:lang w:val="en-US" w:eastAsia="zh-CN"/>
        </w:rPr>
        <w:t>方正小标宋（不加粗），二号，行距32磅</w:t>
      </w:r>
    </w:p>
    <w:p>
      <w:pPr>
        <w:rPr>
          <w:rFonts w:hint="eastAsia"/>
        </w:rPr>
      </w:pP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授予学位类别：XX学位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一级学科（专业学位）代码名称：……………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二级学科（专业领域）代码名称：……………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制订单位：XX（牵头）、XX（参与）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培养方案版本号：2020版</w:t>
      </w:r>
    </w:p>
    <w:p>
      <w:pPr>
        <w:rPr>
          <w:rFonts w:hint="eastAsia"/>
        </w:rPr>
      </w:pPr>
    </w:p>
    <w:p>
      <w:pPr>
        <w:pStyle w:val="8"/>
        <w:numPr>
          <w:ilvl w:val="0"/>
          <w:numId w:val="1"/>
        </w:numPr>
        <w:bidi w:val="0"/>
        <w:rPr>
          <w:rFonts w:hint="eastAsia" w:ascii="黑体" w:hAnsi="黑体" w:eastAsia="黑体" w:cs="黑体"/>
          <w:b w:val="0"/>
          <w:bCs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学科概况（一级标题用黑体，不加粗（三号黑体））</w:t>
      </w:r>
    </w:p>
    <w:p>
      <w:pPr>
        <w:pStyle w:val="8"/>
        <w:numPr>
          <w:numId w:val="0"/>
        </w:numPr>
        <w:bidi w:val="0"/>
        <w:ind w:firstLine="640" w:firstLineChars="200"/>
        <w:rPr>
          <w:rFonts w:hint="eastAsia"/>
        </w:rPr>
      </w:pPr>
      <w:r>
        <w:rPr>
          <w:rFonts w:hint="eastAsia"/>
        </w:rPr>
        <w:t xml:space="preserve">正文：（仿宋-GB2312，三号，行距27磅） </w:t>
      </w:r>
    </w:p>
    <w:p>
      <w:pPr>
        <w:pStyle w:val="8"/>
        <w:numPr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bCs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二、研究方向（三号黑体）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正文：（仿宋-GB2312，三号，行距27磅）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1、研究方向名称。（研究方向英文名称）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研究方向相关介绍。</w:t>
      </w:r>
    </w:p>
    <w:p>
      <w:pPr>
        <w:pStyle w:val="8"/>
        <w:numPr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bCs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三、培养目标（三号黑体）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正文：（仿宋-GB2312，三号，行距27磅）</w:t>
      </w:r>
    </w:p>
    <w:p>
      <w:pPr>
        <w:pStyle w:val="8"/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bCs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四、学制和学习年限（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三号黑体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）</w:t>
      </w:r>
    </w:p>
    <w:p>
      <w:pPr>
        <w:pStyle w:val="8"/>
        <w:numPr>
          <w:ilvl w:val="0"/>
          <w:numId w:val="0"/>
        </w:numPr>
        <w:bidi w:val="0"/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正文：（仿宋-GB2312，三号，行距27磅）</w:t>
      </w:r>
    </w:p>
    <w:p>
      <w:pPr>
        <w:pStyle w:val="8"/>
        <w:numPr>
          <w:ilvl w:val="0"/>
          <w:numId w:val="0"/>
        </w:numPr>
        <w:bidi w:val="0"/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我校研究生的学制：按照《中南大学研究生学籍管理规定》执行。硕士生三年，博士生四年，本科毕业直接攻读博士生五年。我校全日制研究生</w:t>
      </w:r>
      <w:r>
        <w:rPr>
          <w:rFonts w:hint="eastAsia" w:ascii="Times New Roman" w:hAnsi="Times New Roman" w:eastAsia="仿宋_GB2312" w:cs="Times New Roman"/>
          <w:lang w:eastAsia="zh-CN"/>
        </w:rPr>
        <w:t xml:space="preserve">的最长学习年限为：硕士生五年，博士生七年。非全日制研究生最长学习年限为：硕士生六年，博士生八年。最长学习年限计算截止日期为当年 8 月 31日。 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五、培养方式（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三号黑体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正文：（仿宋-GB2312，三号，行距27磅）</w:t>
      </w:r>
    </w:p>
    <w:p>
      <w:pPr>
        <w:pStyle w:val="8"/>
        <w:numPr>
          <w:ilvl w:val="0"/>
          <w:numId w:val="2"/>
        </w:numPr>
        <w:bidi w:val="0"/>
        <w:rPr>
          <w:rFonts w:hint="eastAsia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课程设置与学分要求（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三号黑体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）</w:t>
      </w:r>
    </w:p>
    <w:tbl>
      <w:tblPr>
        <w:tblStyle w:val="4"/>
        <w:tblpPr w:leftFromText="180" w:rightFromText="180" w:vertAnchor="text" w:horzAnchor="page" w:tblpX="1765" w:tblpY="268"/>
        <w:tblOverlap w:val="never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2452"/>
        <w:gridCol w:w="1559"/>
        <w:gridCol w:w="2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课程类别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学分要求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课程类别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学分要求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公共学位课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学科基础课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专业课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选修课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seminar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培养环节</w:t>
            </w:r>
          </w:p>
        </w:tc>
        <w:tc>
          <w:tcPr>
            <w:tcW w:w="285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补修课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总学分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285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2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学分说明</w:t>
            </w:r>
          </w:p>
        </w:tc>
        <w:tc>
          <w:tcPr>
            <w:tcW w:w="6866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page" w:tblpX="1702" w:tblpY="59"/>
        <w:tblOverlap w:val="never"/>
        <w:tblW w:w="8595" w:type="dxa"/>
        <w:tblInd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55"/>
        <w:gridCol w:w="1335"/>
        <w:gridCol w:w="1905"/>
        <w:gridCol w:w="660"/>
        <w:gridCol w:w="675"/>
        <w:gridCol w:w="1365"/>
        <w:gridCol w:w="1500"/>
      </w:tblGrid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类别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课程编号</w:t>
            </w:r>
          </w:p>
        </w:tc>
        <w:tc>
          <w:tcPr>
            <w:tcW w:w="190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课程（环节）名称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学时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学分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开课学期</w:t>
            </w: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说明</w:t>
            </w: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5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公共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学位课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44" w:hRule="atLeast"/>
        </w:trPr>
        <w:tc>
          <w:tcPr>
            <w:tcW w:w="115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4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学科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基础课</w:t>
            </w:r>
          </w:p>
        </w:tc>
        <w:tc>
          <w:tcPr>
            <w:tcW w:w="133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9" w:hRule="atLeast"/>
        </w:trPr>
        <w:tc>
          <w:tcPr>
            <w:tcW w:w="115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52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专业课</w:t>
            </w:r>
          </w:p>
        </w:tc>
        <w:tc>
          <w:tcPr>
            <w:tcW w:w="133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51" w:hRule="atLeast"/>
        </w:trPr>
        <w:tc>
          <w:tcPr>
            <w:tcW w:w="1155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55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选修课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115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seminar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4" w:hRule="atLeast"/>
        </w:trPr>
        <w:tc>
          <w:tcPr>
            <w:tcW w:w="1155" w:type="dxa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培养环节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9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补修课</w:t>
            </w:r>
          </w:p>
        </w:tc>
        <w:tc>
          <w:tcPr>
            <w:tcW w:w="133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</w:tc>
      </w:tr>
    </w:tbl>
    <w:p>
      <w:pPr>
        <w:pStyle w:val="8"/>
        <w:bidi w:val="0"/>
        <w:rPr>
          <w:rFonts w:hint="eastAsia" w:ascii="黑体" w:hAnsi="黑体" w:eastAsia="黑体" w:cs="黑体"/>
          <w:b w:val="0"/>
          <w:bCs/>
          <w:sz w:val="32"/>
          <w:lang w:val="en-US" w:eastAsia="zh-CN"/>
        </w:rPr>
      </w:pP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七、学术研讨与学术交流（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三号黑体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正文：（仿宋-GB2312，三号，行距27磅）</w:t>
      </w:r>
    </w:p>
    <w:p>
      <w:pPr>
        <w:pStyle w:val="8"/>
        <w:bidi w:val="0"/>
        <w:rPr>
          <w:rFonts w:hint="eastAsia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八、博士生资格考试（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三号黑体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正文：（仿宋-GB2312，三号，行距27磅）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九、学位论文开题报告（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三号黑体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正文：（仿宋-GB2312，三号，行距27磅）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十、中期考核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三号黑体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正文：（仿宋-GB2312，三号，行距27磅）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十一、科研训练、专业实践和社会实践（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三号黑体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正文：（仿宋-GB2312，三号，行距27磅）</w:t>
      </w:r>
    </w:p>
    <w:p>
      <w:pPr>
        <w:pStyle w:val="8"/>
        <w:numPr>
          <w:ilvl w:val="0"/>
          <w:numId w:val="3"/>
        </w:numPr>
        <w:bidi w:val="0"/>
        <w:rPr>
          <w:rFonts w:hint="eastAsia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学年总结与考核（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三号黑体</w:t>
      </w: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）</w:t>
      </w:r>
    </w:p>
    <w:p>
      <w:pPr>
        <w:pStyle w:val="8"/>
        <w:numPr>
          <w:numId w:val="0"/>
        </w:numPr>
        <w:bidi w:val="0"/>
        <w:ind w:firstLine="640" w:firstLineChars="20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正文：（仿宋-GB2312，三号，行距27磅）</w:t>
      </w:r>
      <w:r>
        <w:rPr>
          <w:rFonts w:hint="eastAsia" w:ascii="Times New Roman" w:hAnsi="Times New Roman" w:eastAsia="仿宋_GB2312" w:cs="Times New Roman"/>
          <w:lang w:eastAsia="zh-CN"/>
        </w:rPr>
        <w:t>）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十三、学位论文工作（三号黑体）【按照此模板填写】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（一）在学期间成果要求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严格按照《中南大学******一级学科博士、硕士学位授予标准》及学位管理相关文件的要求执行。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（二）学位论文要求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严格按照《中南大学学位授予工作条例》、《中南大学******学科博士、硕士学位授予标准》、《中南大学研究生学位论文撰写规范》、《中南大学研究生学位论文学术不端检测管理办法》的要求执行。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（三）论文评审、答辩与学位授予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严格按照《中南大学学位授予工作条例》、《中南大学答辩管理办法》、《中南大学研究生学位论文评审管理办法》的要求执行。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十四、毕业论文工作（三号黑体）【按照此模板填写】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根据《中南大学博士生毕业与学位授予分离实施办法》，对未达到学位授予要求的，可申请毕业论文答辩。毕业论文要求如下：</w:t>
      </w:r>
    </w:p>
    <w:p>
      <w:pPr>
        <w:pStyle w:val="8"/>
        <w:numPr>
          <w:ilvl w:val="0"/>
          <w:numId w:val="4"/>
        </w:numPr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成果要求</w:t>
      </w:r>
    </w:p>
    <w:p>
      <w:pPr>
        <w:pStyle w:val="8"/>
        <w:numPr>
          <w:numId w:val="0"/>
        </w:numPr>
        <w:bidi w:val="0"/>
        <w:ind w:firstLine="640" w:firstLineChars="20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由学科制定。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（二）毕业论文要求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由学科制定。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（三）毕业论文答辩要求</w:t>
      </w:r>
    </w:p>
    <w:p>
      <w:pPr>
        <w:pStyle w:val="8"/>
        <w:bidi w:val="0"/>
        <w:rPr>
          <w:rFonts w:hint="eastAsia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毕业论文答辩程序参照学位论文答辩程序执行，其他事宜遵照《中南大学博士研究生毕业与学位授予分离实施办法（试行）》执行。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</w:p>
    <w:p>
      <w:pPr>
        <w:rPr>
          <w:rFonts w:hint="eastAsia"/>
        </w:rPr>
      </w:pPr>
    </w:p>
    <w:p>
      <w:pPr>
        <w:pStyle w:val="8"/>
        <w:bidi w:val="0"/>
        <w:ind w:left="0" w:leftChars="0" w:firstLine="640" w:firstLineChars="20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附：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修订专家名单</w:t>
      </w:r>
    </w:p>
    <w:p>
      <w:pPr>
        <w:rPr>
          <w:rFonts w:hint="eastAsia"/>
        </w:rPr>
      </w:pPr>
    </w:p>
    <w:p>
      <w:pPr>
        <w:pStyle w:val="8"/>
        <w:bidi w:val="0"/>
        <w:ind w:left="0" w:leftChars="0" w:firstLine="0" w:firstLineChars="0"/>
        <w:rPr>
          <w:rFonts w:hint="eastAsia" w:cs="Times New Roman"/>
          <w:b/>
          <w:bCs/>
          <w:lang w:val="en-US" w:eastAsia="zh-CN"/>
        </w:rPr>
      </w:pPr>
      <w:bookmarkStart w:id="0" w:name="_GoBack"/>
      <w:bookmarkEnd w:id="0"/>
    </w:p>
    <w:p>
      <w:pPr>
        <w:pStyle w:val="8"/>
        <w:bidi w:val="0"/>
        <w:rPr>
          <w:rFonts w:hint="eastAsia" w:cs="Times New Roman"/>
          <w:b/>
          <w:bCs/>
          <w:lang w:val="en-US" w:eastAsia="zh-CN"/>
        </w:rPr>
      </w:pPr>
      <w:r>
        <w:rPr>
          <w:rFonts w:hint="eastAsia" w:cs="Times New Roman"/>
          <w:b/>
          <w:bCs/>
          <w:lang w:val="en-US" w:eastAsia="zh-CN"/>
        </w:rPr>
        <w:t>备注：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正文的格式要求：仿宋-GB2312，三号，行距27磅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1.页边距：上3CM，下2.5CM，左2.9CM，右2.9CM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2.标题：方正小标宋（不加粗），二号，行距32磅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3.页码：阿拉伯数字（数字前后手工输入—），宋体，小四，居中</w:t>
      </w:r>
    </w:p>
    <w:p>
      <w:pPr>
        <w:pStyle w:val="8"/>
        <w:bidi w:val="0"/>
        <w:rPr>
          <w:rFonts w:hint="eastAsia" w:ascii="Times New Roman" w:hAnsi="Times New Roman" w:eastAsia="仿宋_GB2312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4.文中全部字母、数字的字体均为Times New Roman</w:t>
      </w:r>
    </w:p>
    <w:sectPr>
      <w:footerReference r:id="rId3" w:type="default"/>
      <w:footerReference r:id="rId4" w:type="even"/>
      <w:pgSz w:w="11906" w:h="16838"/>
      <w:pgMar w:top="1701" w:right="1644" w:bottom="141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4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DE9EFC"/>
    <w:multiLevelType w:val="singleLevel"/>
    <w:tmpl w:val="9ADE9EF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C03B017"/>
    <w:multiLevelType w:val="singleLevel"/>
    <w:tmpl w:val="9C03B0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778F076"/>
    <w:multiLevelType w:val="singleLevel"/>
    <w:tmpl w:val="F778F07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AF0B836"/>
    <w:multiLevelType w:val="singleLevel"/>
    <w:tmpl w:val="7AF0B836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45E5F"/>
    <w:rsid w:val="3DF55DAA"/>
    <w:rsid w:val="44884994"/>
    <w:rsid w:val="6351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Lines="0" w:beforeAutospacing="0" w:afterLines="0" w:afterAutospacing="0" w:line="640" w:lineRule="exact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  <w:style w:type="paragraph" w:customStyle="1" w:styleId="8">
    <w:name w:val="段落"/>
    <w:basedOn w:val="1"/>
    <w:qFormat/>
    <w:uiPriority w:val="0"/>
    <w:pPr>
      <w:spacing w:line="540" w:lineRule="exact"/>
      <w:ind w:firstLine="80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2019-10-24T02:08:40Z</dcterms:created>
  <dc:creator>Administrator</dc:creator>
  <lastModifiedBy>andy日安早睡早起</lastModifiedBy>
  <dcterms:modified xsi:type="dcterms:W3CDTF">2019-10-24T02:43:41Z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